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D1B5" w14:textId="0D8C6482" w:rsidR="00137EF0" w:rsidRPr="00137EF0" w:rsidRDefault="00137EF0" w:rsidP="00137EF0">
      <w:pPr>
        <w:rPr>
          <w:b/>
          <w:bCs/>
        </w:rPr>
      </w:pPr>
      <w:bookmarkStart w:id="0" w:name="_Toc16765"/>
      <w:r w:rsidRPr="00137EF0">
        <w:rPr>
          <w:noProof/>
        </w:rPr>
        <w:drawing>
          <wp:anchor distT="0" distB="0" distL="114300" distR="114300" simplePos="0" relativeHeight="251659264" behindDoc="0" locked="0" layoutInCell="1" allowOverlap="1" wp14:anchorId="4843C950" wp14:editId="657D28A0">
            <wp:simplePos x="0" y="0"/>
            <wp:positionH relativeFrom="page">
              <wp:align>center</wp:align>
            </wp:positionH>
            <wp:positionV relativeFrom="page">
              <wp:posOffset>342900</wp:posOffset>
            </wp:positionV>
            <wp:extent cx="3566160" cy="822960"/>
            <wp:effectExtent l="0" t="0" r="0" b="0"/>
            <wp:wrapNone/>
            <wp:docPr id="106708171" name="Picture 2"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blue rectangle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6160" cy="822960"/>
                    </a:xfrm>
                    <a:prstGeom prst="rect">
                      <a:avLst/>
                    </a:prstGeom>
                    <a:noFill/>
                  </pic:spPr>
                </pic:pic>
              </a:graphicData>
            </a:graphic>
            <wp14:sizeRelH relativeFrom="page">
              <wp14:pctWidth>0</wp14:pctWidth>
            </wp14:sizeRelH>
            <wp14:sizeRelV relativeFrom="page">
              <wp14:pctHeight>0</wp14:pctHeight>
            </wp14:sizeRelV>
          </wp:anchor>
        </w:drawing>
      </w:r>
    </w:p>
    <w:p w14:paraId="7A98AA46" w14:textId="6C269191" w:rsidR="0068169A" w:rsidRDefault="00137EF0" w:rsidP="0068169A">
      <w:pPr>
        <w:rPr>
          <w:b/>
          <w:bCs/>
        </w:rPr>
      </w:pPr>
      <w:r>
        <w:rPr>
          <w:b/>
          <w:bCs/>
        </w:rPr>
        <w:t>Style Guide</w:t>
      </w:r>
      <w:r w:rsidRPr="00137EF0">
        <w:rPr>
          <w:b/>
          <w:bCs/>
        </w:rPr>
        <w:br/>
      </w:r>
      <w:r w:rsidRPr="00137EF0">
        <w:rPr>
          <w:i/>
          <w:iCs/>
        </w:rPr>
        <w:t xml:space="preserve">Last update: </w:t>
      </w:r>
      <w:r w:rsidR="00162FAE">
        <w:rPr>
          <w:i/>
          <w:iCs/>
        </w:rPr>
        <w:t>October</w:t>
      </w:r>
      <w:r w:rsidRPr="00137EF0">
        <w:rPr>
          <w:i/>
          <w:iCs/>
        </w:rPr>
        <w:t xml:space="preserve"> 2025</w:t>
      </w:r>
      <w:bookmarkEnd w:id="0"/>
    </w:p>
    <w:p w14:paraId="2E2AFB8E" w14:textId="37A590B7" w:rsidR="00807D44" w:rsidRPr="00807D44" w:rsidRDefault="00807D44" w:rsidP="0068169A">
      <w:pPr>
        <w:rPr>
          <w:u w:val="single"/>
        </w:rPr>
      </w:pPr>
      <w:r w:rsidRPr="00807D44">
        <w:rPr>
          <w:u w:val="single"/>
        </w:rPr>
        <w:t>Style</w:t>
      </w:r>
    </w:p>
    <w:p w14:paraId="4DC93328" w14:textId="3D8BA94E" w:rsidR="0068169A" w:rsidRPr="00137EF0" w:rsidRDefault="0068169A" w:rsidP="0068169A">
      <w:r w:rsidRPr="00137EF0">
        <w:t xml:space="preserve">Please observe the guidelines set forth below, which in general conform with those of the Publication Manual of the American Psychological Association </w:t>
      </w:r>
      <w:r w:rsidR="00807D44">
        <w:t>5</w:t>
      </w:r>
      <w:r w:rsidR="00807D44" w:rsidRPr="00807D44">
        <w:rPr>
          <w:vertAlign w:val="superscript"/>
        </w:rPr>
        <w:t>th</w:t>
      </w:r>
      <w:r w:rsidR="00807D44">
        <w:t xml:space="preserve"> or 6</w:t>
      </w:r>
      <w:r w:rsidR="00807D44" w:rsidRPr="00807D44">
        <w:rPr>
          <w:vertAlign w:val="superscript"/>
        </w:rPr>
        <w:t>th</w:t>
      </w:r>
      <w:r w:rsidR="00807D44">
        <w:t xml:space="preserve"> Edition</w:t>
      </w:r>
      <w:r w:rsidR="001526B9">
        <w:t>. With the 7</w:t>
      </w:r>
      <w:r w:rsidR="001526B9" w:rsidRPr="001526B9">
        <w:rPr>
          <w:vertAlign w:val="superscript"/>
        </w:rPr>
        <w:t>th</w:t>
      </w:r>
      <w:r w:rsidR="001526B9">
        <w:t xml:space="preserve"> Edition, APA style now says to list up to 20 authors in a reference, so we ask that if you use the 7</w:t>
      </w:r>
      <w:r w:rsidR="001526B9" w:rsidRPr="001526B9">
        <w:rPr>
          <w:vertAlign w:val="superscript"/>
        </w:rPr>
        <w:t>th</w:t>
      </w:r>
      <w:r w:rsidR="001526B9">
        <w:t xml:space="preserve"> Edition, you limit the number of authors to six as was required in earlier editions. </w:t>
      </w:r>
      <w:r w:rsidRPr="00137EF0">
        <w:t xml:space="preserve">This is especially important for contributors to multiauthor books, </w:t>
      </w:r>
      <w:r w:rsidR="00D115BD" w:rsidRPr="00137EF0">
        <w:t>to</w:t>
      </w:r>
      <w:r w:rsidRPr="00137EF0">
        <w:t xml:space="preserve"> ensure consistency in editorial style with other chapters.</w:t>
      </w:r>
    </w:p>
    <w:p w14:paraId="3ABC612B" w14:textId="77777777" w:rsidR="0068169A" w:rsidRPr="00807D44" w:rsidRDefault="0068169A" w:rsidP="0068169A">
      <w:pPr>
        <w:rPr>
          <w:i/>
          <w:iCs/>
        </w:rPr>
      </w:pPr>
      <w:r w:rsidRPr="00807D44">
        <w:rPr>
          <w:i/>
          <w:iCs/>
        </w:rPr>
        <w:t>Punctuation</w:t>
      </w:r>
    </w:p>
    <w:p w14:paraId="67E88E14" w14:textId="77777777" w:rsidR="0068169A" w:rsidRPr="00137EF0" w:rsidRDefault="0068169A" w:rsidP="0068169A">
      <w:r w:rsidRPr="00137EF0">
        <w:t>Use a comma before the conjunction in a series of three or more. For example: The results agreed with those of Carter, White, and Morrow.</w:t>
      </w:r>
    </w:p>
    <w:p w14:paraId="04D1D553" w14:textId="52D3357F" w:rsidR="0068169A" w:rsidRPr="00137EF0" w:rsidRDefault="0068169A" w:rsidP="0068169A">
      <w:r w:rsidRPr="00137EF0">
        <w:t>Type periods and commas before closing quotation marks; type other punctuation marks before the closing quotation marks if they are part of the quoted expression and after the quotation marks if they are not. For example: The principal said, “I recommend this book on response to intervention.” The teacher asked, “What do you mean by ‘response to intervention’?” “I’m shocked that you don’t know!” exclaimed the teacher.</w:t>
      </w:r>
    </w:p>
    <w:p w14:paraId="00F1951E" w14:textId="77777777" w:rsidR="0068169A" w:rsidRPr="00137EF0" w:rsidRDefault="0068169A" w:rsidP="0068169A">
      <w:r w:rsidRPr="00137EF0">
        <w:t>Type superscript numerals, letters, and symbols after commas or periods but before other punctuation marks.</w:t>
      </w:r>
    </w:p>
    <w:p w14:paraId="4EF249B5" w14:textId="77777777" w:rsidR="0068169A" w:rsidRPr="00137EF0" w:rsidRDefault="0068169A" w:rsidP="0068169A">
      <w:r w:rsidRPr="00137EF0">
        <w:t>Use a period inside the closing parenthesis if parentheses enclose one or more complete sentences. If parentheses at the end of a sentence enclose less than a complete sentence, the period should follow the closing parenthesis.</w:t>
      </w:r>
    </w:p>
    <w:p w14:paraId="40028C3B" w14:textId="77777777" w:rsidR="0068169A" w:rsidRPr="003A28B9" w:rsidRDefault="0068169A" w:rsidP="0068169A">
      <w:pPr>
        <w:rPr>
          <w:i/>
          <w:iCs/>
        </w:rPr>
      </w:pPr>
      <w:r w:rsidRPr="003A28B9">
        <w:rPr>
          <w:i/>
          <w:iCs/>
        </w:rPr>
        <w:t>Spelling, Terminology, and Hyphenation</w:t>
      </w:r>
    </w:p>
    <w:p w14:paraId="3CCA92D1" w14:textId="77777777" w:rsidR="0068169A" w:rsidRPr="00137EF0" w:rsidRDefault="0068169A" w:rsidP="0068169A">
      <w:r w:rsidRPr="00137EF0">
        <w:t>Use current American spelling throughout. Follow Webster’s Third New International Dictionary, Unabridged (2002) for spelling and hyphenation and consult the current literature for preferred terminology.</w:t>
      </w:r>
    </w:p>
    <w:p w14:paraId="426F3E88" w14:textId="1547EF3C" w:rsidR="0068169A" w:rsidRPr="00137EF0" w:rsidRDefault="0068169A" w:rsidP="0068169A">
      <w:r w:rsidRPr="00137EF0">
        <w:t>A hyphen should be used in a compound adjective that precedes a noun if such a hyphen helps clarify the meaning: for example, client-centered therapy; 30-year-old man</w:t>
      </w:r>
      <w:r w:rsidR="00D115BD">
        <w:t>.</w:t>
      </w:r>
    </w:p>
    <w:p w14:paraId="40BEC2BE" w14:textId="77777777" w:rsidR="0068169A" w:rsidRPr="00137EF0" w:rsidRDefault="0068169A" w:rsidP="0068169A">
      <w:r w:rsidRPr="00137EF0">
        <w:t>Do not hyphenate chemical terms or names of disease entities used as modifiers: for example, amino acid sequence; petit mal seizure.</w:t>
      </w:r>
    </w:p>
    <w:p w14:paraId="7141DCF8" w14:textId="77777777" w:rsidR="0068169A" w:rsidRPr="00137EF0" w:rsidRDefault="0068169A" w:rsidP="0068169A">
      <w:r w:rsidRPr="00137EF0">
        <w:lastRenderedPageBreak/>
        <w:t>Do not hyphenate a compound using an adverb ending in -ly: for example, widely used test; randomly assigned subjects.</w:t>
      </w:r>
    </w:p>
    <w:p w14:paraId="06C71028" w14:textId="77777777" w:rsidR="0068169A" w:rsidRPr="00137EF0" w:rsidRDefault="0068169A" w:rsidP="0068169A">
      <w:r w:rsidRPr="00137EF0">
        <w:t>Most words formed with prefixes are written as one word: for example, prenatal; bisexual; underachiever; subtest. Add a hyphen if needed for clarification: for example, re-treat, co-occur, meta-analysis, co-construct.</w:t>
      </w:r>
    </w:p>
    <w:p w14:paraId="1DC37DF7" w14:textId="77777777" w:rsidR="0068169A" w:rsidRPr="003A28B9" w:rsidRDefault="0068169A" w:rsidP="0068169A">
      <w:pPr>
        <w:rPr>
          <w:i/>
          <w:iCs/>
        </w:rPr>
      </w:pPr>
      <w:r w:rsidRPr="003A28B9">
        <w:rPr>
          <w:i/>
          <w:iCs/>
        </w:rPr>
        <w:t>Capitalization</w:t>
      </w:r>
    </w:p>
    <w:p w14:paraId="6FC41F61" w14:textId="77777777" w:rsidR="0068169A" w:rsidRPr="00137EF0" w:rsidRDefault="0068169A" w:rsidP="0068169A">
      <w:r w:rsidRPr="00137EF0">
        <w:t>In part titles, chapter titles, and headings, capitalize the first word and all other words except articles, prepositions, and conjunctions. Trade and brand names, as well as precise test titles as published, should be capitalized.</w:t>
      </w:r>
    </w:p>
    <w:p w14:paraId="51F4C459" w14:textId="77777777" w:rsidR="0068169A" w:rsidRPr="003A28B9" w:rsidRDefault="0068169A" w:rsidP="0068169A">
      <w:pPr>
        <w:rPr>
          <w:i/>
          <w:iCs/>
        </w:rPr>
      </w:pPr>
      <w:r w:rsidRPr="003A28B9">
        <w:rPr>
          <w:i/>
          <w:iCs/>
        </w:rPr>
        <w:t>Abbreviations</w:t>
      </w:r>
    </w:p>
    <w:p w14:paraId="2195B247" w14:textId="2049AE64" w:rsidR="0068169A" w:rsidRPr="00137EF0" w:rsidRDefault="0068169A" w:rsidP="0068169A">
      <w:r w:rsidRPr="00137EF0">
        <w:t>Some commonly used abbreviations appear as word entries in the dictionary and may be used without further explanation (e.g., IQ for intelligence quotient). Any other specialized term that occurs frequently may be abbreviated if spelled out completely at its first occurrence, with the abbreviation immediately following in parentheses. Use the abbreviation consistently thereafter. If there is a standard abbreviation in the literature, it should be used rather than one chosen arbitrarily. For example: “The Minnesota Multiphasic Personality Inventory (MMPI) was administered to all groups of subjects.”</w:t>
      </w:r>
    </w:p>
    <w:p w14:paraId="06E515CE" w14:textId="77777777" w:rsidR="0068169A" w:rsidRPr="003A28B9" w:rsidRDefault="0068169A" w:rsidP="0068169A">
      <w:pPr>
        <w:rPr>
          <w:i/>
          <w:iCs/>
        </w:rPr>
      </w:pPr>
      <w:r w:rsidRPr="003A28B9">
        <w:rPr>
          <w:i/>
          <w:iCs/>
        </w:rPr>
        <w:t>Units</w:t>
      </w:r>
    </w:p>
    <w:p w14:paraId="1D82224E" w14:textId="77777777" w:rsidR="0068169A" w:rsidRPr="00137EF0" w:rsidRDefault="0068169A" w:rsidP="0068169A">
      <w:r w:rsidRPr="00137EF0">
        <w:t>Use the International System of Units (SI) whenever possible. Units should be abbreviated when used in conjunction with numerals (e.g., a 10-kg weight) but written out when referred to in the text without numerals (e.g., a package weighing several kilograms). Do not use periods with SI unit abbreviations.</w:t>
      </w:r>
    </w:p>
    <w:p w14:paraId="246AD318" w14:textId="77777777" w:rsidR="0068169A" w:rsidRPr="003A28B9" w:rsidRDefault="0068169A" w:rsidP="0068169A">
      <w:pPr>
        <w:rPr>
          <w:i/>
          <w:iCs/>
        </w:rPr>
      </w:pPr>
      <w:r w:rsidRPr="003A28B9">
        <w:rPr>
          <w:i/>
          <w:iCs/>
        </w:rPr>
        <w:t>Numbers</w:t>
      </w:r>
    </w:p>
    <w:p w14:paraId="31310182" w14:textId="77777777" w:rsidR="0068169A" w:rsidRPr="00137EF0" w:rsidRDefault="0068169A" w:rsidP="0068169A">
      <w:r w:rsidRPr="00137EF0">
        <w:t>In general, use words to express the numbers zero through nine and any number that begins a sentence. Always use numerals with units of time and measurement.</w:t>
      </w:r>
    </w:p>
    <w:p w14:paraId="40139E23" w14:textId="77777777" w:rsidR="0068169A" w:rsidRPr="00137EF0" w:rsidRDefault="0068169A" w:rsidP="0068169A">
      <w:r w:rsidRPr="00137EF0">
        <w:t>Use a zero before the decimal point in decimal numbers between zero and one (e.g., 0.06, not .06). Exceptions are p and r values, which cannot be greater than 1.</w:t>
      </w:r>
    </w:p>
    <w:p w14:paraId="4BA66A3F" w14:textId="77777777" w:rsidR="0068169A" w:rsidRPr="00137EF0" w:rsidRDefault="0068169A" w:rsidP="0068169A">
      <w:r w:rsidRPr="00137EF0">
        <w:t>Use commas to separate groups of three digits in numbers of four or more digits (e.g., 3,492; 56,432,098).</w:t>
      </w:r>
    </w:p>
    <w:p w14:paraId="4A46E24E" w14:textId="77777777" w:rsidR="0068169A" w:rsidRPr="003A28B9" w:rsidRDefault="0068169A" w:rsidP="0068169A">
      <w:pPr>
        <w:rPr>
          <w:i/>
          <w:iCs/>
        </w:rPr>
      </w:pPr>
      <w:r w:rsidRPr="003A28B9">
        <w:rPr>
          <w:i/>
          <w:iCs/>
        </w:rPr>
        <w:t>Mathematical Material</w:t>
      </w:r>
    </w:p>
    <w:p w14:paraId="1C64A800" w14:textId="7D23BCE4" w:rsidR="0068169A" w:rsidRPr="00137EF0" w:rsidRDefault="0068169A" w:rsidP="0068169A">
      <w:r w:rsidRPr="00137EF0">
        <w:t>For simple mathematical material, use regular Word alphanumerical characters. Use an en dash, not a hyphen, for a minus sign</w:t>
      </w:r>
      <w:r w:rsidR="00D115BD">
        <w:t xml:space="preserve">. </w:t>
      </w:r>
      <w:r w:rsidRPr="00137EF0">
        <w:t>Use a true multiplication sign (×), not a lowercase x</w:t>
      </w:r>
      <w:r w:rsidR="00D115BD">
        <w:t xml:space="preserve">. </w:t>
      </w:r>
      <w:r w:rsidRPr="00137EF0">
        <w:lastRenderedPageBreak/>
        <w:t>Use the Symbol font to get Greek letters. Other math symbols can be found by clicking “Insert,” then “Symbol.”</w:t>
      </w:r>
    </w:p>
    <w:p w14:paraId="5C8DBD6C" w14:textId="576104AC" w:rsidR="0068169A" w:rsidRPr="00137EF0" w:rsidRDefault="0068169A" w:rsidP="0068169A">
      <w:r w:rsidRPr="00137EF0">
        <w:t>For more complex math, use MathType to set equations. MathType is a plug-in for Word that you can find at www. dessci.com/EN/products/mathtype.</w:t>
      </w:r>
      <w:r w:rsidR="00D115BD">
        <w:t xml:space="preserve"> </w:t>
      </w:r>
      <w:r w:rsidRPr="00137EF0">
        <w:t xml:space="preserve">Your editor can supply you with a list of basic settings that will ensure that your MathType equations are unambiguous. </w:t>
      </w:r>
    </w:p>
    <w:p w14:paraId="44A8C5A1" w14:textId="327A8BAD" w:rsidR="0068169A" w:rsidRPr="00137EF0" w:rsidRDefault="0068169A" w:rsidP="0068169A">
      <w:r w:rsidRPr="00137EF0">
        <w:t>Supply a “style sheet” with your manuscript indicating the conventions that you have followed. For example, “Lowercase italic for variables. Lowercase roman Greek letters for sets. Bold letters for vectors. No punctuation following displayed equations.”</w:t>
      </w:r>
    </w:p>
    <w:p w14:paraId="19B292D3" w14:textId="58CE3474" w:rsidR="0068169A" w:rsidRDefault="0068169A" w:rsidP="0068169A">
      <w:r w:rsidRPr="00137EF0">
        <w:t xml:space="preserve">Number displayed equations consecutively within each chapter, using </w:t>
      </w:r>
      <w:r w:rsidR="00FA1FBB">
        <w:t>A</w:t>
      </w:r>
      <w:r w:rsidRPr="00137EF0">
        <w:t>rabic numbers in parentheses in the right margin.</w:t>
      </w:r>
    </w:p>
    <w:p w14:paraId="3071B9D4" w14:textId="66AB821B" w:rsidR="004B5666" w:rsidRDefault="004B5666" w:rsidP="0068169A">
      <w:pPr>
        <w:rPr>
          <w:u w:val="single"/>
        </w:rPr>
      </w:pPr>
      <w:r w:rsidRPr="00D2347E">
        <w:rPr>
          <w:u w:val="single"/>
        </w:rPr>
        <w:t xml:space="preserve">Diversity, </w:t>
      </w:r>
      <w:r w:rsidR="00D2347E" w:rsidRPr="00D2347E">
        <w:rPr>
          <w:u w:val="single"/>
        </w:rPr>
        <w:t>Equity, and Inclusion</w:t>
      </w:r>
    </w:p>
    <w:p w14:paraId="2D2626C1" w14:textId="115D37C1" w:rsidR="00D2347E" w:rsidRDefault="00D2347E" w:rsidP="0068169A">
      <w:r>
        <w:t xml:space="preserve">When writing, it is important to consider </w:t>
      </w:r>
      <w:r w:rsidR="00292E86">
        <w:t xml:space="preserve">how best to present ideas in a way that represents diverse perspectives and utilizes inclusive language. </w:t>
      </w:r>
      <w:r w:rsidR="00700504">
        <w:t>There are many resources available to authors, including:</w:t>
      </w:r>
    </w:p>
    <w:p w14:paraId="23BB83A0" w14:textId="0629C342" w:rsidR="00700504" w:rsidRPr="00D115BD" w:rsidRDefault="00122869" w:rsidP="00D115BD">
      <w:pPr>
        <w:ind w:left="720"/>
        <w:rPr>
          <w:color w:val="156082" w:themeColor="accent1"/>
          <w:u w:val="single"/>
        </w:rPr>
      </w:pPr>
      <w:hyperlink r:id="rId8" w:history="1">
        <w:r w:rsidRPr="00D115BD">
          <w:rPr>
            <w:rStyle w:val="Hyperlink"/>
            <w:color w:val="156082" w:themeColor="accent1"/>
          </w:rPr>
          <w:t>The APA’s Guide to Bias-Free Language</w:t>
        </w:r>
      </w:hyperlink>
    </w:p>
    <w:p w14:paraId="05A3A78E" w14:textId="7E917A1F" w:rsidR="006C55D3" w:rsidRPr="00D115BD" w:rsidRDefault="006C55D3" w:rsidP="00D115BD">
      <w:pPr>
        <w:ind w:left="720"/>
        <w:rPr>
          <w:color w:val="156082" w:themeColor="accent1"/>
          <w:u w:val="single"/>
        </w:rPr>
      </w:pPr>
      <w:hyperlink r:id="rId9" w:history="1">
        <w:r w:rsidRPr="00D115BD">
          <w:rPr>
            <w:rStyle w:val="Hyperlink"/>
            <w:color w:val="156082" w:themeColor="accent1"/>
          </w:rPr>
          <w:t>The Diversity Style Guide</w:t>
        </w:r>
      </w:hyperlink>
    </w:p>
    <w:p w14:paraId="26D7CB4F" w14:textId="732000BF" w:rsidR="009B2F15" w:rsidRDefault="009B2F15" w:rsidP="0068169A">
      <w:pPr>
        <w:rPr>
          <w:u w:val="single"/>
        </w:rPr>
      </w:pPr>
      <w:r>
        <w:rPr>
          <w:u w:val="single"/>
        </w:rPr>
        <w:t>Print and Digital Accessibility</w:t>
      </w:r>
    </w:p>
    <w:p w14:paraId="286CD317" w14:textId="2E6CCF21" w:rsidR="009B2F15" w:rsidRDefault="00803276" w:rsidP="0068169A">
      <w:r>
        <w:t>Guilford is committed to ensuring</w:t>
      </w:r>
      <w:r w:rsidR="006A03D1">
        <w:t xml:space="preserve"> its publications are accessible to readers with </w:t>
      </w:r>
      <w:r w:rsidR="0098316F">
        <w:t xml:space="preserve">varying abilities. As you write, there are things to consider </w:t>
      </w:r>
      <w:r w:rsidR="00162FAE">
        <w:t>ensuring</w:t>
      </w:r>
      <w:r w:rsidR="0098316F">
        <w:t xml:space="preserve"> your work is accessible:</w:t>
      </w:r>
    </w:p>
    <w:p w14:paraId="1978CDF7" w14:textId="538EA694" w:rsidR="00704A03" w:rsidRDefault="00704A03" w:rsidP="0098316F">
      <w:pPr>
        <w:pStyle w:val="ListParagraph"/>
        <w:numPr>
          <w:ilvl w:val="0"/>
          <w:numId w:val="2"/>
        </w:numPr>
      </w:pPr>
      <w:r>
        <w:t xml:space="preserve">Use of color in figures: </w:t>
      </w:r>
      <w:r w:rsidR="00D115BD">
        <w:t xml:space="preserve">Nearly all Guilford books are printed in greyscale. When using shades of gray (or color if your contract allows), </w:t>
      </w:r>
      <w:r w:rsidR="00162FAE">
        <w:t>b</w:t>
      </w:r>
      <w:r w:rsidR="00600158">
        <w:t>lack and white will always be the best option for high-contrast figures. To check</w:t>
      </w:r>
      <w:r w:rsidR="00F81754">
        <w:t xml:space="preserve"> whether a color combination is accessible use an online color contrast checker such as </w:t>
      </w:r>
      <w:hyperlink r:id="rId10" w:history="1">
        <w:r w:rsidR="00F81754" w:rsidRPr="00001139">
          <w:rPr>
            <w:rStyle w:val="Hyperlink"/>
            <w:color w:val="156082" w:themeColor="accent1"/>
          </w:rPr>
          <w:t>AudioEye</w:t>
        </w:r>
      </w:hyperlink>
    </w:p>
    <w:p w14:paraId="2CD690C7" w14:textId="62CE2546" w:rsidR="0098316F" w:rsidRDefault="0098316F" w:rsidP="0098316F">
      <w:pPr>
        <w:pStyle w:val="ListParagraph"/>
        <w:numPr>
          <w:ilvl w:val="0"/>
          <w:numId w:val="2"/>
        </w:numPr>
      </w:pPr>
      <w:r>
        <w:t>Limit the use of tables</w:t>
      </w:r>
      <w:r w:rsidR="002821DA">
        <w:t xml:space="preserve">: While tables can be very useful for presenting information, they </w:t>
      </w:r>
      <w:r w:rsidR="008A69CB">
        <w:t>cannot be easily read by screen readers. Ask yourself if a table is truly the best way to present your information</w:t>
      </w:r>
      <w:r w:rsidR="0097245C">
        <w:t>.</w:t>
      </w:r>
    </w:p>
    <w:p w14:paraId="1C759CD5" w14:textId="65D9E3D0" w:rsidR="0097245C" w:rsidRDefault="0097245C" w:rsidP="0098316F">
      <w:pPr>
        <w:pStyle w:val="ListParagraph"/>
        <w:numPr>
          <w:ilvl w:val="0"/>
          <w:numId w:val="2"/>
        </w:numPr>
      </w:pPr>
      <w:r>
        <w:t xml:space="preserve">Clear headings: Using clear headings and structure in your work is beneficial for all </w:t>
      </w:r>
      <w:r w:rsidR="00D115BD">
        <w:t>readers but</w:t>
      </w:r>
      <w:r>
        <w:t xml:space="preserve"> is especially helpful for </w:t>
      </w:r>
      <w:r w:rsidR="00D115BD">
        <w:t>those</w:t>
      </w:r>
      <w:r>
        <w:t xml:space="preserve"> who may be navigating </w:t>
      </w:r>
      <w:r w:rsidR="004273A0">
        <w:t>the text with a screen-reader.</w:t>
      </w:r>
    </w:p>
    <w:p w14:paraId="461D172A" w14:textId="76A63F0F" w:rsidR="004273A0" w:rsidRDefault="004273A0" w:rsidP="0098316F">
      <w:pPr>
        <w:pStyle w:val="ListParagraph"/>
        <w:numPr>
          <w:ilvl w:val="0"/>
          <w:numId w:val="2"/>
        </w:numPr>
      </w:pPr>
      <w:r>
        <w:t xml:space="preserve">Descriptive URLs: When placing a URL in your text, </w:t>
      </w:r>
      <w:r w:rsidR="00573AB3">
        <w:t xml:space="preserve">it is helpful to include a description of what the link offers. Do not paste a long URL in your text as a screen reader will read the full thing out. Instead, use a shortened, descriptive link, such as </w:t>
      </w:r>
      <w:r w:rsidR="00A33109">
        <w:t xml:space="preserve">“more information is available at </w:t>
      </w:r>
      <w:hyperlink r:id="rId11" w:history="1">
        <w:r w:rsidR="006B2B10" w:rsidRPr="00704A03">
          <w:rPr>
            <w:rStyle w:val="Hyperlink"/>
          </w:rPr>
          <w:t>Pressbooks</w:t>
        </w:r>
        <w:r w:rsidR="00704A03" w:rsidRPr="00704A03">
          <w:rPr>
            <w:rStyle w:val="Hyperlink"/>
          </w:rPr>
          <w:t xml:space="preserve"> User Guide on Accessibility</w:t>
        </w:r>
      </w:hyperlink>
      <w:r w:rsidR="00704A03">
        <w:t>.”</w:t>
      </w:r>
    </w:p>
    <w:p w14:paraId="0B2D9419" w14:textId="34CD09BA" w:rsidR="00B62624" w:rsidRPr="00803276" w:rsidRDefault="00B62624" w:rsidP="0098316F">
      <w:pPr>
        <w:pStyle w:val="ListParagraph"/>
        <w:numPr>
          <w:ilvl w:val="0"/>
          <w:numId w:val="2"/>
        </w:numPr>
      </w:pPr>
      <w:r>
        <w:lastRenderedPageBreak/>
        <w:t xml:space="preserve">Captions and transcriptions: If your book is </w:t>
      </w:r>
      <w:r w:rsidR="00D115BD">
        <w:t>accompanied</w:t>
      </w:r>
      <w:r>
        <w:t xml:space="preserve"> by audio or video resources, be sure to include transcriptions</w:t>
      </w:r>
      <w:r w:rsidR="00D115BD">
        <w:t xml:space="preserve"> for audio</w:t>
      </w:r>
      <w:r>
        <w:t xml:space="preserve"> </w:t>
      </w:r>
      <w:r w:rsidR="00D115BD">
        <w:t>and</w:t>
      </w:r>
      <w:r>
        <w:t xml:space="preserve"> captions</w:t>
      </w:r>
      <w:r w:rsidR="00D115BD">
        <w:t xml:space="preserve"> for video.</w:t>
      </w:r>
    </w:p>
    <w:p w14:paraId="287C3D3E" w14:textId="77777777" w:rsidR="009B2F15" w:rsidRPr="009B2F15" w:rsidRDefault="009B2F15" w:rsidP="0068169A">
      <w:pPr>
        <w:rPr>
          <w:u w:val="single"/>
        </w:rPr>
      </w:pPr>
    </w:p>
    <w:p w14:paraId="76FB72C1" w14:textId="77777777" w:rsidR="00137EF0" w:rsidRPr="00137EF0" w:rsidRDefault="00137EF0" w:rsidP="00137EF0">
      <w:pPr>
        <w:rPr>
          <w:u w:val="single"/>
        </w:rPr>
      </w:pPr>
      <w:r w:rsidRPr="00137EF0">
        <w:rPr>
          <w:u w:val="single"/>
        </w:rPr>
        <w:t>Tables/Sidebars/Boxes</w:t>
      </w:r>
    </w:p>
    <w:p w14:paraId="276E3BCB" w14:textId="708FA04E" w:rsidR="00137EF0" w:rsidRPr="00137EF0" w:rsidRDefault="00137EF0" w:rsidP="00137EF0">
      <w:r w:rsidRPr="00137EF0">
        <w:t>Furnish a brief descriptive title for each table. Place explanatory material necessary to the understanding of the table in footnotes immediately below the table. Use superscript italicized lowercase letters as footnote indices in tables. Double-space everything: title, column headings, body of table, and footnotes. Design tables to fit within the limitations of the type</w:t>
      </w:r>
      <w:r w:rsidR="00162FAE">
        <w:t>d</w:t>
      </w:r>
      <w:r w:rsidRPr="00137EF0">
        <w:t xml:space="preserve"> page. If necessary, the size of the table can be compressed by introducing abbreviations in either the body of the table or the column headings. Explanations for these abbreviations can be placed in footnotes to the table.</w:t>
      </w:r>
    </w:p>
    <w:p w14:paraId="4AF8A0F4" w14:textId="77777777" w:rsidR="00137EF0" w:rsidRPr="00137EF0" w:rsidRDefault="00137EF0" w:rsidP="00137EF0">
      <w:r w:rsidRPr="006D68BD">
        <w:rPr>
          <w:b/>
          <w:bCs/>
        </w:rPr>
        <w:t>Do not use the “text box” feature, other graphics, or background shading in MS Word.</w:t>
      </w:r>
      <w:r w:rsidRPr="00137EF0">
        <w:t xml:space="preserve"> They are a hindrance to editing and typesetting. If there is material that needs to be formatted to stand out from regular text, you can specify that it be set as a sidebar—enter “sidebar/box begins” and “sidebar/box ends” to indicate the beginning and end of the displayed material; do not add a border around it. If there is a particular way you would like certain material to appear in the typeset book, you can send us separate sample formatted pages.</w:t>
      </w:r>
    </w:p>
    <w:p w14:paraId="3F43920C" w14:textId="77777777" w:rsidR="00137EF0" w:rsidRPr="00137EF0" w:rsidRDefault="00137EF0" w:rsidP="00137EF0">
      <w:pPr>
        <w:rPr>
          <w:u w:val="single"/>
        </w:rPr>
      </w:pPr>
      <w:bookmarkStart w:id="1" w:name="_Toc16767"/>
      <w:r w:rsidRPr="00137EF0">
        <w:rPr>
          <w:u w:val="single"/>
        </w:rPr>
        <w:t>Other Formatting Instructions</w:t>
      </w:r>
      <w:bookmarkEnd w:id="1"/>
    </w:p>
    <w:p w14:paraId="1E46B54C" w14:textId="636FDDB7" w:rsidR="00137EF0" w:rsidRPr="00137EF0" w:rsidRDefault="00137EF0" w:rsidP="00137EF0">
      <w:r w:rsidRPr="006D68BD">
        <w:rPr>
          <w:i/>
          <w:iCs/>
        </w:rPr>
        <w:t>Table of Contents</w:t>
      </w:r>
      <w:r w:rsidRPr="00137EF0">
        <w:t xml:space="preserve">: </w:t>
      </w:r>
      <w:r w:rsidR="004C7C26">
        <w:t>All manuscripts should be submitted with a</w:t>
      </w:r>
      <w:r w:rsidRPr="00137EF0">
        <w:t xml:space="preserve"> Table of Contents of the book that corresponds to the organization of the text. </w:t>
      </w:r>
      <w:r w:rsidR="004C7C26">
        <w:t xml:space="preserve">Depending on the content, you may choose to have either a detailed ToC or a brief ToC. </w:t>
      </w:r>
      <w:r w:rsidRPr="00137EF0">
        <w:t>For chapters in edited books, the manuscript’s Table of Contents should correspond to the organization of the chapters.</w:t>
      </w:r>
    </w:p>
    <w:p w14:paraId="19A5DD68" w14:textId="7FE15B0B" w:rsidR="00137EF0" w:rsidRPr="00137EF0" w:rsidRDefault="00137EF0" w:rsidP="00137EF0">
      <w:r w:rsidRPr="006D68BD">
        <w:rPr>
          <w:i/>
          <w:iCs/>
        </w:rPr>
        <w:t>Headings</w:t>
      </w:r>
      <w:r w:rsidRPr="00137EF0">
        <w:t>: Chapters may be divided into sections with several levels of headings, each with a short descriptive title. To facilitate coding by the copyeditor, topics of equal importance should be typed in the same manner throughout (e.g., A heads in caps, centered; B heads in cap/lowercase, centered; C heads in cap/lowercase italic, flush left).</w:t>
      </w:r>
      <w:r w:rsidR="004C7C26">
        <w:t xml:space="preserve"> Avoid using “stacked heads”, i.e. an A head followed immediately by a B head with no text separating them.</w:t>
      </w:r>
    </w:p>
    <w:p w14:paraId="0B2BAC7C" w14:textId="4A7A8811" w:rsidR="00137EF0" w:rsidRPr="00137EF0" w:rsidRDefault="00137EF0" w:rsidP="00137EF0">
      <w:r w:rsidRPr="006D68BD">
        <w:rPr>
          <w:i/>
          <w:iCs/>
        </w:rPr>
        <w:t>Footnotes/Endnotes</w:t>
      </w:r>
      <w:r w:rsidRPr="00137EF0">
        <w:t xml:space="preserve">: Use footnotes/endnotes (endnotes are preferable) only if essential. Number them consecutively chapter-by-chapter with superscript </w:t>
      </w:r>
      <w:r w:rsidR="00261E9D">
        <w:t>A</w:t>
      </w:r>
      <w:r w:rsidRPr="00137EF0">
        <w:t xml:space="preserve">rabic numerals. They should </w:t>
      </w:r>
      <w:r w:rsidR="004C7C26" w:rsidRPr="00137EF0">
        <w:t>be</w:t>
      </w:r>
      <w:r w:rsidRPr="00137EF0">
        <w:t xml:space="preserve"> double-spaced.</w:t>
      </w:r>
    </w:p>
    <w:p w14:paraId="7387E26C" w14:textId="54B0428A" w:rsidR="00137EF0" w:rsidRPr="006D68BD" w:rsidRDefault="00137EF0" w:rsidP="00137EF0">
      <w:pPr>
        <w:rPr>
          <w:i/>
          <w:iCs/>
        </w:rPr>
      </w:pPr>
      <w:bookmarkStart w:id="2" w:name="_Toc16768"/>
      <w:r w:rsidRPr="006D68BD">
        <w:rPr>
          <w:i/>
          <w:iCs/>
        </w:rPr>
        <w:t>Case Material</w:t>
      </w:r>
      <w:bookmarkEnd w:id="2"/>
      <w:r w:rsidR="006D68BD">
        <w:rPr>
          <w:i/>
          <w:iCs/>
        </w:rPr>
        <w:t xml:space="preserve">: </w:t>
      </w:r>
      <w:r w:rsidRPr="00137EF0">
        <w:t xml:space="preserve">Ethical and legal considerations require careful attention to protection of patient/client or teacher/student anonymity in case material and elsewhere. If you plan to </w:t>
      </w:r>
      <w:r w:rsidRPr="00137EF0">
        <w:lastRenderedPageBreak/>
        <w:t>use any case material in your chapter/book, you must comply with the following stipulations:</w:t>
      </w:r>
    </w:p>
    <w:p w14:paraId="3F064DDC" w14:textId="7568A837" w:rsidR="00137EF0" w:rsidRPr="00137EF0" w:rsidRDefault="00137EF0" w:rsidP="002C425E">
      <w:pPr>
        <w:pStyle w:val="ListParagraph"/>
        <w:numPr>
          <w:ilvl w:val="0"/>
          <w:numId w:val="1"/>
        </w:numPr>
      </w:pPr>
      <w:r w:rsidRPr="00137EF0">
        <w:t>Individuals should not be able to recognize themselves, nor should others be able to recognize the individuals presented in the cases. Avoid identifying information such as names, initials, cities, and dates. Also, disguise identifying information when discussing patient/client characteristics and personal history. If you need further guidance, download “Writing about Psychiatric Patients,” an article published in the Bulletin of the Menninger Clinic, Vol. 50, No. 6, 1986, from our website (</w:t>
      </w:r>
      <w:hyperlink r:id="rId12" w:history="1">
        <w:r w:rsidR="00162FAE" w:rsidRPr="00162FAE">
          <w:rPr>
            <w:rStyle w:val="Hyperlink"/>
          </w:rPr>
          <w:t>http://www.guilford.com/authors/menninger.pdf</w:t>
        </w:r>
      </w:hyperlink>
      <w:r w:rsidRPr="00137EF0">
        <w:t>).</w:t>
      </w:r>
    </w:p>
    <w:p w14:paraId="6FE5B7E0" w14:textId="2FADBFEE" w:rsidR="00137EF0" w:rsidRPr="00137EF0" w:rsidRDefault="00137EF0" w:rsidP="002C425E">
      <w:pPr>
        <w:pStyle w:val="ListParagraph"/>
        <w:numPr>
          <w:ilvl w:val="0"/>
          <w:numId w:val="1"/>
        </w:numPr>
      </w:pPr>
      <w:r w:rsidRPr="00137EF0">
        <w:t>If specificity of case material makes patient/client or teacher/student recognition likely despite efforts to disguise identifying information or if the chapter/book contains any verbatim patient/client or teacher/student material (e.g., transcripts of therapy sessions, direct quotes, poems, letters, stories), photographs of patients/clients or teachers/students, or artwork created by patients/clients or teachers/students, a formal release is required. Sample release forms for professional and trade publications can be downloaded from our website</w:t>
      </w:r>
      <w:r w:rsidR="00261E9D">
        <w:t>.</w:t>
      </w:r>
      <w:r w:rsidRPr="00137EF0">
        <w:t xml:space="preserve"> (</w:t>
      </w:r>
      <w:hyperlink r:id="rId13" w:history="1">
        <w:r w:rsidR="00162FAE" w:rsidRPr="00162FAE">
          <w:rPr>
            <w:rStyle w:val="Hyperlink"/>
          </w:rPr>
          <w:t>Case release for professional publications</w:t>
        </w:r>
      </w:hyperlink>
      <w:r w:rsidRPr="00137EF0">
        <w:t xml:space="preserve">; </w:t>
      </w:r>
      <w:hyperlink r:id="rId14" w:history="1">
        <w:r w:rsidR="00162FAE" w:rsidRPr="00162FAE">
          <w:rPr>
            <w:rStyle w:val="Hyperlink"/>
          </w:rPr>
          <w:t>Case release for trade publications</w:t>
        </w:r>
      </w:hyperlink>
      <w:r w:rsidRPr="00137EF0">
        <w:t>).</w:t>
      </w:r>
    </w:p>
    <w:p w14:paraId="5ACC0D1A" w14:textId="67268FDF" w:rsidR="00137EF0" w:rsidRPr="00137EF0" w:rsidRDefault="00137EF0" w:rsidP="002C425E">
      <w:pPr>
        <w:pStyle w:val="ListParagraph"/>
        <w:numPr>
          <w:ilvl w:val="0"/>
          <w:numId w:val="1"/>
        </w:numPr>
      </w:pPr>
      <w:r w:rsidRPr="00137EF0">
        <w:t xml:space="preserve">If you have already obtained releases from your patients/clients or teachers/ students, </w:t>
      </w:r>
      <w:r w:rsidR="002C425E">
        <w:t xml:space="preserve">please share them with </w:t>
      </w:r>
      <w:r w:rsidR="00BB294E">
        <w:t>us</w:t>
      </w:r>
      <w:r w:rsidRPr="00137EF0">
        <w:t xml:space="preserve"> </w:t>
      </w:r>
      <w:r w:rsidR="00BB294E">
        <w:t xml:space="preserve">so we may </w:t>
      </w:r>
      <w:r w:rsidRPr="00137EF0">
        <w:t>determine if it meets the criteria included in our standard form.</w:t>
      </w:r>
    </w:p>
    <w:p w14:paraId="611F7AAE" w14:textId="77777777" w:rsidR="00137EF0" w:rsidRPr="00137EF0" w:rsidRDefault="00137EF0" w:rsidP="00BB294E">
      <w:pPr>
        <w:pStyle w:val="ListParagraph"/>
        <w:numPr>
          <w:ilvl w:val="0"/>
          <w:numId w:val="1"/>
        </w:numPr>
      </w:pPr>
      <w:r w:rsidRPr="00137EF0">
        <w:t>If you are unable to obtain the necessary releases (e.g., from patients/clients or teachers/students with whom you are out of contact or who are unwilling to sign a release), you must paraphrase all verbatim material, with particular attention paid to potentially identifiable, idiosyncratic expressions (e.g., “My father always called me his little princess” could be changed to “My father always called me by a pet name”).</w:t>
      </w:r>
    </w:p>
    <w:p w14:paraId="0FB2560E" w14:textId="77777777" w:rsidR="00137EF0" w:rsidRPr="00137EF0" w:rsidRDefault="00137EF0" w:rsidP="00BB294E">
      <w:pPr>
        <w:pStyle w:val="ListParagraph"/>
        <w:numPr>
          <w:ilvl w:val="0"/>
          <w:numId w:val="1"/>
        </w:numPr>
      </w:pPr>
      <w:r w:rsidRPr="00137EF0">
        <w:t>Consult the laws of your own jurisdictions and institutional ethical rules concerning implied contractual duties of confidentiality with those you have treated.</w:t>
      </w:r>
    </w:p>
    <w:p w14:paraId="2FBB1A24" w14:textId="77777777" w:rsidR="00137EF0" w:rsidRPr="003A28B9" w:rsidRDefault="00137EF0" w:rsidP="00137EF0">
      <w:pPr>
        <w:rPr>
          <w:u w:val="single"/>
        </w:rPr>
      </w:pPr>
      <w:r w:rsidRPr="003A28B9">
        <w:rPr>
          <w:u w:val="single"/>
        </w:rPr>
        <w:t>References</w:t>
      </w:r>
    </w:p>
    <w:p w14:paraId="37E693B2" w14:textId="6B11887A" w:rsidR="00137EF0" w:rsidRPr="00137EF0" w:rsidRDefault="00137EF0" w:rsidP="00137EF0">
      <w:r w:rsidRPr="00137EF0">
        <w:t xml:space="preserve">References must be typed double-spaced. Correctness and completeness of reference data is the responsibility of each author. Check the spelling of proper names and words in foreign languages, titles, dates, volume numbers, and pages before you submit your chapter/book. Each reference cited in the text must appear in the reference list, and all entries in the reference list must be cited in the text. For </w:t>
      </w:r>
      <w:r w:rsidR="00D115BD" w:rsidRPr="00137EF0">
        <w:t>single author</w:t>
      </w:r>
      <w:r w:rsidRPr="00137EF0">
        <w:t xml:space="preserve"> works, </w:t>
      </w:r>
      <w:r w:rsidR="003D0FC9">
        <w:t>submit a single, compiled list of references</w:t>
      </w:r>
      <w:r w:rsidRPr="00137EF0">
        <w:t>. For edited, multiauthor volumes, a reference list should appear at the end of each chapter.</w:t>
      </w:r>
    </w:p>
    <w:p w14:paraId="23BCEB7B" w14:textId="11256E1D" w:rsidR="00137EF0" w:rsidRPr="00137EF0" w:rsidRDefault="00137EF0" w:rsidP="00137EF0">
      <w:r w:rsidRPr="00137EF0">
        <w:lastRenderedPageBreak/>
        <w:t xml:space="preserve">Reference citations in the text and the arrangement of the reference list should adhere to the style set down below. Cite all references in the text by inserting the author’s surname and the year of publication at an appropriate point: </w:t>
      </w:r>
      <w:r w:rsidR="00F81AB8">
        <w:t>“</w:t>
      </w:r>
      <w:r w:rsidRPr="00137EF0">
        <w:t xml:space="preserve">Gordon (2015) studied response rates . . . </w:t>
      </w:r>
      <w:r w:rsidR="00F81AB8">
        <w:t xml:space="preserve">“ </w:t>
      </w:r>
      <w:r w:rsidRPr="00137EF0">
        <w:t xml:space="preserve">or </w:t>
      </w:r>
      <w:r w:rsidR="00F81AB8">
        <w:t>“</w:t>
      </w:r>
      <w:r w:rsidRPr="00137EF0">
        <w:t>A groundbreaking study of response rates (Gordon, 2015) has shown</w:t>
      </w:r>
      <w:r w:rsidR="006D5BA6">
        <w:t>.</w:t>
      </w:r>
      <w:r w:rsidR="00F81AB8">
        <w:t>”</w:t>
      </w:r>
    </w:p>
    <w:p w14:paraId="21A2A307" w14:textId="77777777" w:rsidR="00137EF0" w:rsidRPr="00137EF0" w:rsidRDefault="00137EF0" w:rsidP="00137EF0">
      <w:r w:rsidRPr="00137EF0">
        <w:t>For works by two authors, both names are cited each time the reference occurs in the text.</w:t>
      </w:r>
    </w:p>
    <w:p w14:paraId="7755191C" w14:textId="4AD2DDEF" w:rsidR="00137EF0" w:rsidRPr="00137EF0" w:rsidRDefault="00137EF0" w:rsidP="00137EF0">
      <w:r w:rsidRPr="00137EF0">
        <w:t xml:space="preserve">For works by more than two but fewer than six authors, all names are cited the first time the reference occurs; in subsequent citations of the same reference, only the surname of the senior author is given, followed by the abbreviation et al.: </w:t>
      </w:r>
      <w:r w:rsidR="00303262">
        <w:t>“</w:t>
      </w:r>
      <w:r w:rsidRPr="00137EF0">
        <w:t>Gordon, Carter, and Jones (2015) have demonstrated . . .</w:t>
      </w:r>
      <w:r w:rsidR="00303262">
        <w:t>”</w:t>
      </w:r>
      <w:r w:rsidRPr="00137EF0">
        <w:t xml:space="preserve"> (first occurrence); </w:t>
      </w:r>
      <w:r w:rsidR="00303262">
        <w:t xml:space="preserve">“ … </w:t>
      </w:r>
      <w:r w:rsidRPr="00137EF0">
        <w:t>the study discussed earlier (Gordon et al., 2015) confirmed. . . .</w:t>
      </w:r>
      <w:r w:rsidR="00303262">
        <w:t>” (subsequent occurrence)</w:t>
      </w:r>
    </w:p>
    <w:p w14:paraId="16B131A6" w14:textId="77777777" w:rsidR="00137EF0" w:rsidRPr="00137EF0" w:rsidRDefault="00137EF0" w:rsidP="00137EF0">
      <w:r w:rsidRPr="00137EF0">
        <w:t>For works by six or more authors, cite only the surname of the first author followed by et al. and the year for the first and all subsequent citations.</w:t>
      </w:r>
    </w:p>
    <w:p w14:paraId="26CA6521" w14:textId="77777777" w:rsidR="00137EF0" w:rsidRPr="00137EF0" w:rsidRDefault="00137EF0" w:rsidP="00137EF0">
      <w:r w:rsidRPr="00137EF0">
        <w:t>If citation of two or more references in the same year shortens to the same form (e.g., Gordon et al., 2015, for Gordon, Carter, &amp; Jones, 2015, and Gordon, Jones, Carter, &amp; White, 2015), cite the surname of the senior author and of as many subsequent authors as are necessary to distinguish the references, followed by et al. (e.g., Gordon, Jones, et al., 2015).</w:t>
      </w:r>
    </w:p>
    <w:p w14:paraId="3D9662D4" w14:textId="5CFD8B00" w:rsidR="00137EF0" w:rsidRPr="00137EF0" w:rsidRDefault="00137EF0" w:rsidP="00137EF0">
      <w:r w:rsidRPr="00137EF0">
        <w:t xml:space="preserve">An ampersand (&amp;) should replace “and” in parenthetical and tabular citations: </w:t>
      </w:r>
      <w:r w:rsidR="00303262">
        <w:t>“</w:t>
      </w:r>
      <w:r w:rsidRPr="00137EF0">
        <w:t>Studies of reaction times (Gordon &amp; Carter, 2015</w:t>
      </w:r>
      <w:r w:rsidR="00212D70">
        <w:t>)</w:t>
      </w:r>
      <w:r w:rsidR="00303262">
        <w:t xml:space="preserve"> …”</w:t>
      </w:r>
    </w:p>
    <w:p w14:paraId="4D5A2F90" w14:textId="77777777" w:rsidR="00137EF0" w:rsidRPr="00137EF0" w:rsidRDefault="00137EF0" w:rsidP="00137EF0">
      <w:r w:rsidRPr="00137EF0">
        <w:t>If the reference list includes works published in the same year by two or more authors with the same surname, include their initials in text citations.</w:t>
      </w:r>
    </w:p>
    <w:p w14:paraId="17DF8B45" w14:textId="150D51A0" w:rsidR="00137EF0" w:rsidRPr="00137EF0" w:rsidRDefault="00137EF0" w:rsidP="00137EF0">
      <w:r w:rsidRPr="00137EF0">
        <w:t xml:space="preserve">If several works by the same author are cited together, they are arranged in chronological order, separated by commas: </w:t>
      </w:r>
      <w:r w:rsidR="00303262">
        <w:t>“</w:t>
      </w:r>
      <w:r w:rsidRPr="00137EF0">
        <w:t>Several studies (Gordon, 2010, 2014a, 2014b, 2015, in press-a, in press-b) have indicated. . . .</w:t>
      </w:r>
      <w:r w:rsidR="00303262">
        <w:t>”</w:t>
      </w:r>
    </w:p>
    <w:p w14:paraId="75EE9561" w14:textId="78D3C6D6" w:rsidR="00137EF0" w:rsidRPr="00137EF0" w:rsidRDefault="00137EF0" w:rsidP="00137EF0">
      <w:r w:rsidRPr="00137EF0">
        <w:t xml:space="preserve">If works by different authors are cited together, they are arranged alphabetically by authors’ surnames, separated by semicolons: </w:t>
      </w:r>
      <w:r w:rsidR="00303262">
        <w:t>“</w:t>
      </w:r>
      <w:r w:rsidRPr="00137EF0">
        <w:t>Several studies (Carter, 2010; Gordon &amp; Carter, 2015; Jones et al., 2014) have indicated. . . .</w:t>
      </w:r>
      <w:r w:rsidR="00303262">
        <w:t>”</w:t>
      </w:r>
    </w:p>
    <w:p w14:paraId="5CE596BC" w14:textId="77777777" w:rsidR="00137EF0" w:rsidRPr="00137EF0" w:rsidRDefault="00137EF0" w:rsidP="00137EF0">
      <w:r w:rsidRPr="00137EF0">
        <w:t xml:space="preserve">Arrange reference list entries alphabetically according to surname, with authors’ names in inverted order. If several works by the same first author are cited, list references with a single author first, arranged in order of year of publication. If two or more of the works were published in the same year (or both are in press), list them alphabetically by title, with the letters a, b, c, etc., placed after the year for each entry; text citation should echo this notation. List references with the same first author and different second or third authors alphabetically by the surname of the second author, etc. For works by up to six authors, </w:t>
      </w:r>
      <w:r w:rsidRPr="00137EF0">
        <w:lastRenderedPageBreak/>
        <w:t>give all authors’ names in the list. For works by more than six authors, give six names followed by et al. For example:</w:t>
      </w:r>
    </w:p>
    <w:p w14:paraId="6ED484BC" w14:textId="77777777" w:rsidR="00137EF0" w:rsidRPr="00137EF0" w:rsidRDefault="00137EF0" w:rsidP="00137EF0">
      <w:r w:rsidRPr="00137EF0">
        <w:t>Carter, A. B. (2012).</w:t>
      </w:r>
    </w:p>
    <w:p w14:paraId="69F5035A" w14:textId="77777777" w:rsidR="00137EF0" w:rsidRPr="00137EF0" w:rsidRDefault="00137EF0" w:rsidP="00137EF0">
      <w:r w:rsidRPr="00137EF0">
        <w:t>Carter, J. E. (2009).</w:t>
      </w:r>
    </w:p>
    <w:p w14:paraId="778E72A0" w14:textId="77777777" w:rsidR="00137EF0" w:rsidRPr="00137EF0" w:rsidRDefault="00137EF0" w:rsidP="00137EF0">
      <w:r w:rsidRPr="00137EF0">
        <w:t>Carter, J. E. (2014).</w:t>
      </w:r>
    </w:p>
    <w:p w14:paraId="2ED069A6" w14:textId="77777777" w:rsidR="00137EF0" w:rsidRPr="00137EF0" w:rsidRDefault="00137EF0" w:rsidP="00137EF0">
      <w:r w:rsidRPr="00137EF0">
        <w:t>Carter, J. E. (2015a). Perception. . . .</w:t>
      </w:r>
    </w:p>
    <w:p w14:paraId="0C71D329" w14:textId="77777777" w:rsidR="00137EF0" w:rsidRPr="00137EF0" w:rsidRDefault="00137EF0" w:rsidP="00137EF0">
      <w:r w:rsidRPr="00137EF0">
        <w:t>Carter, J. E. (2015b). Response. . . .</w:t>
      </w:r>
    </w:p>
    <w:p w14:paraId="05BE74CF" w14:textId="77777777" w:rsidR="00137EF0" w:rsidRPr="00137EF0" w:rsidRDefault="00137EF0" w:rsidP="00137EF0">
      <w:r w:rsidRPr="00137EF0">
        <w:t>Carter, J. E., Carter, A. B., &amp; Gordon, L. M. (2014).</w:t>
      </w:r>
    </w:p>
    <w:p w14:paraId="7693E36A" w14:textId="77777777" w:rsidR="00137EF0" w:rsidRPr="00137EF0" w:rsidRDefault="00137EF0" w:rsidP="00137EF0">
      <w:r w:rsidRPr="00137EF0">
        <w:t>Carter, J. E., &amp; Gordon, L. M. (2013).</w:t>
      </w:r>
    </w:p>
    <w:p w14:paraId="22885EE2" w14:textId="77777777" w:rsidR="00137EF0" w:rsidRPr="00137EF0" w:rsidRDefault="00137EF0" w:rsidP="00137EF0">
      <w:r w:rsidRPr="00137EF0">
        <w:t>Carter, J. E., Jones, R. F., &amp; Gordon, L. M. (2015).</w:t>
      </w:r>
    </w:p>
    <w:p w14:paraId="64ACC3DD" w14:textId="77777777" w:rsidR="00137EF0" w:rsidRPr="00137EF0" w:rsidRDefault="00137EF0" w:rsidP="00137EF0">
      <w:r w:rsidRPr="00137EF0">
        <w:t>Carter, J. E., Jones, R. F., &amp; White, A. C. (2012).</w:t>
      </w:r>
    </w:p>
    <w:p w14:paraId="52E2E53A" w14:textId="77777777" w:rsidR="00137EF0" w:rsidRPr="00137EF0" w:rsidRDefault="00137EF0" w:rsidP="00137EF0">
      <w:r w:rsidRPr="00137EF0">
        <w:t>Carter, J. E., Jones, R. F., White, A. C., Brown, D. B., Gordon, L. M., Carter,   A. B., et al. (2016).</w:t>
      </w:r>
    </w:p>
    <w:p w14:paraId="6580CA25" w14:textId="4F086EC4" w:rsidR="00137EF0" w:rsidRPr="00162FAE" w:rsidRDefault="00051822" w:rsidP="00137EF0">
      <w:pPr>
        <w:rPr>
          <w:b/>
          <w:bCs/>
        </w:rPr>
      </w:pPr>
      <w:r w:rsidRPr="00162FAE">
        <w:rPr>
          <w:b/>
          <w:bCs/>
        </w:rPr>
        <w:t>Do not include DOI’s in your reference list</w:t>
      </w:r>
    </w:p>
    <w:p w14:paraId="18D7D2BF" w14:textId="77777777" w:rsidR="00137EF0" w:rsidRPr="00137EF0" w:rsidRDefault="00137EF0" w:rsidP="00137EF0">
      <w:r w:rsidRPr="00137EF0">
        <w:t>The elements of reference entries should be ordered as indicated in the following representative examples:</w:t>
      </w:r>
    </w:p>
    <w:p w14:paraId="2ABCB30B" w14:textId="77777777" w:rsidR="00137EF0" w:rsidRPr="00051822" w:rsidRDefault="00137EF0" w:rsidP="00137EF0">
      <w:pPr>
        <w:rPr>
          <w:i/>
          <w:iCs/>
        </w:rPr>
      </w:pPr>
      <w:r w:rsidRPr="00051822">
        <w:rPr>
          <w:i/>
          <w:iCs/>
        </w:rPr>
        <w:t>Journal Article:</w:t>
      </w:r>
    </w:p>
    <w:p w14:paraId="242D75AE" w14:textId="77777777" w:rsidR="00137EF0" w:rsidRPr="00137EF0" w:rsidRDefault="00137EF0" w:rsidP="00137EF0">
      <w:r w:rsidRPr="00137EF0">
        <w:t>Miller, W. R., &amp; Rose, G. S. (2015). Motivational interviewing and decisional balance: Contrasting responses to client ambivalence. Behavioral and Cognitive Psychotherapy, 43(2), 527–537.</w:t>
      </w:r>
    </w:p>
    <w:p w14:paraId="7F084F07" w14:textId="77777777" w:rsidR="00137EF0" w:rsidRPr="00051822" w:rsidRDefault="00137EF0" w:rsidP="00137EF0">
      <w:pPr>
        <w:rPr>
          <w:i/>
          <w:iCs/>
        </w:rPr>
      </w:pPr>
      <w:r w:rsidRPr="00051822">
        <w:rPr>
          <w:i/>
          <w:iCs/>
        </w:rPr>
        <w:t>Authored Book:</w:t>
      </w:r>
    </w:p>
    <w:p w14:paraId="7CCCAFEF" w14:textId="77777777" w:rsidR="00137EF0" w:rsidRPr="00137EF0" w:rsidRDefault="00137EF0" w:rsidP="00137EF0">
      <w:r w:rsidRPr="00137EF0">
        <w:t>Beck, I. L., McKeown, M. G., &amp; Kucan, L. (2013). Bringing words to life: Robust vocabulary instruction (2nd ed.). New York: Guilford Press.</w:t>
      </w:r>
    </w:p>
    <w:p w14:paraId="53864F58" w14:textId="77777777" w:rsidR="00137EF0" w:rsidRPr="00051822" w:rsidRDefault="00137EF0" w:rsidP="00137EF0">
      <w:pPr>
        <w:rPr>
          <w:i/>
          <w:iCs/>
        </w:rPr>
      </w:pPr>
      <w:r w:rsidRPr="00051822">
        <w:rPr>
          <w:i/>
          <w:iCs/>
        </w:rPr>
        <w:t>Edited Book:</w:t>
      </w:r>
    </w:p>
    <w:p w14:paraId="0283F76C" w14:textId="6B4FAB90" w:rsidR="00137EF0" w:rsidRPr="00137EF0" w:rsidRDefault="00137EF0" w:rsidP="00051822">
      <w:pPr>
        <w:spacing w:line="240" w:lineRule="auto"/>
      </w:pPr>
      <w:r w:rsidRPr="00137EF0">
        <w:t>Hoyle, R. H. (Ed.). (2012). Handbook of structural equation modeling. New York: Guilford Press.</w:t>
      </w:r>
    </w:p>
    <w:p w14:paraId="1BB799AB" w14:textId="77777777" w:rsidR="00137EF0" w:rsidRPr="00B01A01" w:rsidRDefault="00137EF0" w:rsidP="00137EF0">
      <w:pPr>
        <w:rPr>
          <w:i/>
          <w:iCs/>
        </w:rPr>
      </w:pPr>
      <w:r w:rsidRPr="00B01A01">
        <w:rPr>
          <w:i/>
          <w:iCs/>
        </w:rPr>
        <w:t>Chapter in Edited Book:</w:t>
      </w:r>
    </w:p>
    <w:p w14:paraId="6D8EE7C6" w14:textId="77777777" w:rsidR="00137EF0" w:rsidRPr="00137EF0" w:rsidRDefault="00137EF0" w:rsidP="00137EF0">
      <w:r w:rsidRPr="00137EF0">
        <w:lastRenderedPageBreak/>
        <w:t>Posner, M. I., Rothbart, M. K., Rueda, M. R., &amp; Tang, Y. Y. (2010). Training effortless attention. In B. Bruya (Ed.), Effortless attention: A new perspective in the cognitive science of attention and action (pp. 410–424). Cambridge, MA: MIT Press.</w:t>
      </w:r>
    </w:p>
    <w:p w14:paraId="1E5E7FAF" w14:textId="77777777" w:rsidR="00137EF0" w:rsidRPr="00B01A01" w:rsidRDefault="00137EF0" w:rsidP="00137EF0">
      <w:pPr>
        <w:rPr>
          <w:i/>
          <w:iCs/>
        </w:rPr>
      </w:pPr>
      <w:r w:rsidRPr="00B01A01">
        <w:rPr>
          <w:i/>
          <w:iCs/>
        </w:rPr>
        <w:t>Paper Presented at a Meeting:</w:t>
      </w:r>
    </w:p>
    <w:p w14:paraId="2A550DA7" w14:textId="77777777" w:rsidR="00137EF0" w:rsidRPr="00137EF0" w:rsidRDefault="00137EF0" w:rsidP="00137EF0">
      <w:r w:rsidRPr="00137EF0">
        <w:t>Busse, R. T., Hass, M., &amp; Domzalski, S. (2011, Spring). Assessment of academic task attack strategy deficits. Paper presented at the convention of the California Association of School Psychologists, Costa Mesa, CA.</w:t>
      </w:r>
    </w:p>
    <w:p w14:paraId="1BF99889" w14:textId="77777777" w:rsidR="00137EF0" w:rsidRPr="00B01A01" w:rsidRDefault="00137EF0" w:rsidP="00137EF0">
      <w:pPr>
        <w:rPr>
          <w:i/>
          <w:iCs/>
        </w:rPr>
      </w:pPr>
      <w:r w:rsidRPr="00B01A01">
        <w:rPr>
          <w:i/>
          <w:iCs/>
        </w:rPr>
        <w:t>Electronic Reference:</w:t>
      </w:r>
    </w:p>
    <w:p w14:paraId="515D8394" w14:textId="77777777" w:rsidR="00137EF0" w:rsidRPr="00137EF0" w:rsidRDefault="00137EF0" w:rsidP="00137EF0">
      <w:r w:rsidRPr="00137EF0">
        <w:t>Jacobs, R. (2013, July 26). A lost Scottish island, George Orwell, and the future of maps. Retrieved September 23, 2013, from www.theatlantic.com/international/ archive/2013/07.</w:t>
      </w:r>
    </w:p>
    <w:p w14:paraId="249EF3E7" w14:textId="5F6D2565" w:rsidR="00017834" w:rsidRDefault="00137EF0">
      <w:r w:rsidRPr="00137EF0">
        <w:t>Write out names of journals or other periodical publications in full. The abbreviations “ibid.,” “op. cit.,” “loc. cit.,” and “et al.” should not appear in the reference list.</w:t>
      </w:r>
    </w:p>
    <w:sectPr w:rsidR="00017834" w:rsidSect="00137EF0">
      <w:footerReference w:type="even" r:id="rId15"/>
      <w:footerReference w:type="defaul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0CAA" w14:textId="77777777" w:rsidR="009E4301" w:rsidRDefault="009E4301">
      <w:pPr>
        <w:spacing w:after="0" w:line="240" w:lineRule="auto"/>
      </w:pPr>
      <w:r>
        <w:separator/>
      </w:r>
    </w:p>
  </w:endnote>
  <w:endnote w:type="continuationSeparator" w:id="0">
    <w:p w14:paraId="18237FE4" w14:textId="77777777" w:rsidR="009E4301" w:rsidRDefault="009E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0009" w14:textId="77777777" w:rsidR="00137EF0" w:rsidRDefault="00137EF0">
    <w:pPr>
      <w:tabs>
        <w:tab w:val="center" w:pos="1440"/>
        <w:tab w:val="center" w:pos="4680"/>
      </w:tabs>
      <w:spacing w:after="0" w:line="259" w:lineRule="auto"/>
    </w:pPr>
    <w:r>
      <w:rPr>
        <w:rFonts w:ascii="Calibri" w:eastAsia="Calibri" w:hAnsi="Calibri" w:cs="Calibri"/>
        <w:color w:val="000000"/>
      </w:rPr>
      <w:tab/>
    </w:r>
    <w:r>
      <w:rPr>
        <w:rFonts w:ascii="Calibri" w:eastAsia="Calibri" w:hAnsi="Calibri" w:cs="Calibri"/>
        <w:sz w:val="18"/>
      </w:rPr>
      <w:t xml:space="preserve"> </w:t>
    </w:r>
    <w:r>
      <w:rPr>
        <w:rFonts w:ascii="Calibri" w:eastAsia="Calibri" w:hAnsi="Calibri" w:cs="Calibri"/>
        <w:sz w:val="18"/>
      </w:rPr>
      <w:tab/>
    </w:r>
    <w:r>
      <w:rPr>
        <w:rFonts w:ascii="Garamond" w:eastAsia="Garamond" w:hAnsi="Garamond" w:cs="Garamond"/>
        <w:sz w:val="22"/>
      </w:rPr>
      <w:fldChar w:fldCharType="begin"/>
    </w:r>
    <w:r>
      <w:instrText xml:space="preserve"> PAGE   \* MERGEFORMAT </w:instrText>
    </w:r>
    <w:r>
      <w:rPr>
        <w:rFonts w:ascii="Garamond" w:eastAsia="Garamond" w:hAnsi="Garamond" w:cs="Garamond"/>
        <w:sz w:val="22"/>
      </w:rP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E3EF" w14:textId="77777777" w:rsidR="00137EF0" w:rsidRDefault="00137EF0">
    <w:pPr>
      <w:tabs>
        <w:tab w:val="center" w:pos="1440"/>
        <w:tab w:val="center" w:pos="4680"/>
      </w:tabs>
      <w:spacing w:after="0" w:line="259" w:lineRule="auto"/>
    </w:pPr>
    <w:r>
      <w:rPr>
        <w:rFonts w:ascii="Calibri" w:eastAsia="Calibri" w:hAnsi="Calibri" w:cs="Calibri"/>
        <w:color w:val="000000"/>
      </w:rPr>
      <w:tab/>
    </w:r>
    <w:r>
      <w:rPr>
        <w:rFonts w:ascii="Calibri" w:eastAsia="Calibri" w:hAnsi="Calibri" w:cs="Calibri"/>
        <w:sz w:val="18"/>
      </w:rPr>
      <w:t xml:space="preserve"> </w:t>
    </w:r>
    <w:r>
      <w:rPr>
        <w:rFonts w:ascii="Calibri" w:eastAsia="Calibri" w:hAnsi="Calibri" w:cs="Calibri"/>
        <w:sz w:val="18"/>
      </w:rPr>
      <w:tab/>
    </w:r>
    <w:r>
      <w:rPr>
        <w:rFonts w:ascii="Garamond" w:eastAsia="Garamond" w:hAnsi="Garamond" w:cs="Garamond"/>
        <w:sz w:val="22"/>
      </w:rPr>
      <w:fldChar w:fldCharType="begin"/>
    </w:r>
    <w:r>
      <w:instrText xml:space="preserve"> PAGE   \* MERGEFORMAT </w:instrText>
    </w:r>
    <w:r>
      <w:rPr>
        <w:rFonts w:ascii="Garamond" w:eastAsia="Garamond" w:hAnsi="Garamond" w:cs="Garamond"/>
        <w:sz w:val="22"/>
      </w:rP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53CF" w14:textId="77777777" w:rsidR="00137EF0" w:rsidRDefault="00137EF0">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21A2" w14:textId="77777777" w:rsidR="009E4301" w:rsidRDefault="009E4301">
      <w:pPr>
        <w:spacing w:after="0" w:line="240" w:lineRule="auto"/>
      </w:pPr>
      <w:r>
        <w:separator/>
      </w:r>
    </w:p>
  </w:footnote>
  <w:footnote w:type="continuationSeparator" w:id="0">
    <w:p w14:paraId="0664BCA7" w14:textId="77777777" w:rsidR="009E4301" w:rsidRDefault="009E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F90"/>
    <w:multiLevelType w:val="hybridMultilevel"/>
    <w:tmpl w:val="2634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73985"/>
    <w:multiLevelType w:val="hybridMultilevel"/>
    <w:tmpl w:val="FEC2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764693">
    <w:abstractNumId w:val="1"/>
  </w:num>
  <w:num w:numId="2" w16cid:durableId="162025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0"/>
    <w:rsid w:val="00001139"/>
    <w:rsid w:val="00004ED6"/>
    <w:rsid w:val="00017834"/>
    <w:rsid w:val="000341E4"/>
    <w:rsid w:val="00051822"/>
    <w:rsid w:val="000A2931"/>
    <w:rsid w:val="000A4066"/>
    <w:rsid w:val="00122869"/>
    <w:rsid w:val="00137EF0"/>
    <w:rsid w:val="001475D5"/>
    <w:rsid w:val="001526B9"/>
    <w:rsid w:val="0016038C"/>
    <w:rsid w:val="00162FAE"/>
    <w:rsid w:val="00212D70"/>
    <w:rsid w:val="002248EE"/>
    <w:rsid w:val="00261E9D"/>
    <w:rsid w:val="002821DA"/>
    <w:rsid w:val="00292E86"/>
    <w:rsid w:val="002C425E"/>
    <w:rsid w:val="00303262"/>
    <w:rsid w:val="003A28B9"/>
    <w:rsid w:val="003D0FC9"/>
    <w:rsid w:val="004273A0"/>
    <w:rsid w:val="004B5666"/>
    <w:rsid w:val="004C7C26"/>
    <w:rsid w:val="00573AB3"/>
    <w:rsid w:val="00600158"/>
    <w:rsid w:val="0068169A"/>
    <w:rsid w:val="006A03D1"/>
    <w:rsid w:val="006B2B10"/>
    <w:rsid w:val="006C55D3"/>
    <w:rsid w:val="006D5BA6"/>
    <w:rsid w:val="006D68BD"/>
    <w:rsid w:val="006F6C7F"/>
    <w:rsid w:val="00700504"/>
    <w:rsid w:val="00704A03"/>
    <w:rsid w:val="00803276"/>
    <w:rsid w:val="00803B8A"/>
    <w:rsid w:val="00807D44"/>
    <w:rsid w:val="008550B2"/>
    <w:rsid w:val="008A69CB"/>
    <w:rsid w:val="008F30A4"/>
    <w:rsid w:val="0097245C"/>
    <w:rsid w:val="0098316F"/>
    <w:rsid w:val="009B2F15"/>
    <w:rsid w:val="009E4301"/>
    <w:rsid w:val="00A33109"/>
    <w:rsid w:val="00AB1B69"/>
    <w:rsid w:val="00B01A01"/>
    <w:rsid w:val="00B62624"/>
    <w:rsid w:val="00BB094B"/>
    <w:rsid w:val="00BB294E"/>
    <w:rsid w:val="00C33508"/>
    <w:rsid w:val="00CD31F9"/>
    <w:rsid w:val="00D115BD"/>
    <w:rsid w:val="00D2347E"/>
    <w:rsid w:val="00D95BE0"/>
    <w:rsid w:val="00DD44DF"/>
    <w:rsid w:val="00E23A6C"/>
    <w:rsid w:val="00E301D8"/>
    <w:rsid w:val="00F42470"/>
    <w:rsid w:val="00F81754"/>
    <w:rsid w:val="00F81AB8"/>
    <w:rsid w:val="00FA1FBB"/>
    <w:rsid w:val="00FB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770C"/>
  <w15:chartTrackingRefBased/>
  <w15:docId w15:val="{2717911D-245D-45D8-A505-1483F3D6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EF0"/>
    <w:rPr>
      <w:rFonts w:eastAsiaTheme="majorEastAsia" w:cstheme="majorBidi"/>
      <w:color w:val="272727" w:themeColor="text1" w:themeTint="D8"/>
    </w:rPr>
  </w:style>
  <w:style w:type="paragraph" w:styleId="Title">
    <w:name w:val="Title"/>
    <w:basedOn w:val="Normal"/>
    <w:next w:val="Normal"/>
    <w:link w:val="TitleChar"/>
    <w:uiPriority w:val="10"/>
    <w:qFormat/>
    <w:rsid w:val="00137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EF0"/>
    <w:pPr>
      <w:spacing w:before="160"/>
      <w:jc w:val="center"/>
    </w:pPr>
    <w:rPr>
      <w:i/>
      <w:iCs/>
      <w:color w:val="404040" w:themeColor="text1" w:themeTint="BF"/>
    </w:rPr>
  </w:style>
  <w:style w:type="character" w:customStyle="1" w:styleId="QuoteChar">
    <w:name w:val="Quote Char"/>
    <w:basedOn w:val="DefaultParagraphFont"/>
    <w:link w:val="Quote"/>
    <w:uiPriority w:val="29"/>
    <w:rsid w:val="00137EF0"/>
    <w:rPr>
      <w:i/>
      <w:iCs/>
      <w:color w:val="404040" w:themeColor="text1" w:themeTint="BF"/>
    </w:rPr>
  </w:style>
  <w:style w:type="paragraph" w:styleId="ListParagraph">
    <w:name w:val="List Paragraph"/>
    <w:basedOn w:val="Normal"/>
    <w:uiPriority w:val="34"/>
    <w:qFormat/>
    <w:rsid w:val="00137EF0"/>
    <w:pPr>
      <w:ind w:left="720"/>
      <w:contextualSpacing/>
    </w:pPr>
  </w:style>
  <w:style w:type="character" w:styleId="IntenseEmphasis">
    <w:name w:val="Intense Emphasis"/>
    <w:basedOn w:val="DefaultParagraphFont"/>
    <w:uiPriority w:val="21"/>
    <w:qFormat/>
    <w:rsid w:val="00137EF0"/>
    <w:rPr>
      <w:i/>
      <w:iCs/>
      <w:color w:val="0F4761" w:themeColor="accent1" w:themeShade="BF"/>
    </w:rPr>
  </w:style>
  <w:style w:type="paragraph" w:styleId="IntenseQuote">
    <w:name w:val="Intense Quote"/>
    <w:basedOn w:val="Normal"/>
    <w:next w:val="Normal"/>
    <w:link w:val="IntenseQuoteChar"/>
    <w:uiPriority w:val="30"/>
    <w:qFormat/>
    <w:rsid w:val="00137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F0"/>
    <w:rPr>
      <w:i/>
      <w:iCs/>
      <w:color w:val="0F4761" w:themeColor="accent1" w:themeShade="BF"/>
    </w:rPr>
  </w:style>
  <w:style w:type="character" w:styleId="IntenseReference">
    <w:name w:val="Intense Reference"/>
    <w:basedOn w:val="DefaultParagraphFont"/>
    <w:uiPriority w:val="32"/>
    <w:qFormat/>
    <w:rsid w:val="00137EF0"/>
    <w:rPr>
      <w:b/>
      <w:bCs/>
      <w:smallCaps/>
      <w:color w:val="0F4761" w:themeColor="accent1" w:themeShade="BF"/>
      <w:spacing w:val="5"/>
    </w:rPr>
  </w:style>
  <w:style w:type="character" w:styleId="Hyperlink">
    <w:name w:val="Hyperlink"/>
    <w:basedOn w:val="DefaultParagraphFont"/>
    <w:uiPriority w:val="99"/>
    <w:unhideWhenUsed/>
    <w:rsid w:val="00122869"/>
    <w:rPr>
      <w:color w:val="467886" w:themeColor="hyperlink"/>
      <w:u w:val="single"/>
    </w:rPr>
  </w:style>
  <w:style w:type="character" w:styleId="UnresolvedMention">
    <w:name w:val="Unresolved Mention"/>
    <w:basedOn w:val="DefaultParagraphFont"/>
    <w:uiPriority w:val="99"/>
    <w:semiHidden/>
    <w:unhideWhenUsed/>
    <w:rsid w:val="00122869"/>
    <w:rPr>
      <w:color w:val="605E5C"/>
      <w:shd w:val="clear" w:color="auto" w:fill="E1DFDD"/>
    </w:rPr>
  </w:style>
  <w:style w:type="paragraph" w:styleId="Revision">
    <w:name w:val="Revision"/>
    <w:hidden/>
    <w:uiPriority w:val="99"/>
    <w:semiHidden/>
    <w:rsid w:val="00803B8A"/>
    <w:pPr>
      <w:spacing w:after="0" w:line="240" w:lineRule="auto"/>
    </w:pPr>
  </w:style>
  <w:style w:type="character" w:styleId="CommentReference">
    <w:name w:val="annotation reference"/>
    <w:basedOn w:val="DefaultParagraphFont"/>
    <w:uiPriority w:val="99"/>
    <w:semiHidden/>
    <w:unhideWhenUsed/>
    <w:rsid w:val="00803B8A"/>
    <w:rPr>
      <w:sz w:val="16"/>
      <w:szCs w:val="16"/>
    </w:rPr>
  </w:style>
  <w:style w:type="paragraph" w:styleId="CommentText">
    <w:name w:val="annotation text"/>
    <w:basedOn w:val="Normal"/>
    <w:link w:val="CommentTextChar"/>
    <w:uiPriority w:val="99"/>
    <w:unhideWhenUsed/>
    <w:rsid w:val="00803B8A"/>
    <w:pPr>
      <w:spacing w:line="240" w:lineRule="auto"/>
    </w:pPr>
    <w:rPr>
      <w:sz w:val="20"/>
      <w:szCs w:val="20"/>
    </w:rPr>
  </w:style>
  <w:style w:type="character" w:customStyle="1" w:styleId="CommentTextChar">
    <w:name w:val="Comment Text Char"/>
    <w:basedOn w:val="DefaultParagraphFont"/>
    <w:link w:val="CommentText"/>
    <w:uiPriority w:val="99"/>
    <w:rsid w:val="00803B8A"/>
    <w:rPr>
      <w:sz w:val="20"/>
      <w:szCs w:val="20"/>
    </w:rPr>
  </w:style>
  <w:style w:type="paragraph" w:styleId="CommentSubject">
    <w:name w:val="annotation subject"/>
    <w:basedOn w:val="CommentText"/>
    <w:next w:val="CommentText"/>
    <w:link w:val="CommentSubjectChar"/>
    <w:uiPriority w:val="99"/>
    <w:semiHidden/>
    <w:unhideWhenUsed/>
    <w:rsid w:val="00803B8A"/>
    <w:rPr>
      <w:b/>
      <w:bCs/>
    </w:rPr>
  </w:style>
  <w:style w:type="character" w:customStyle="1" w:styleId="CommentSubjectChar">
    <w:name w:val="Comment Subject Char"/>
    <w:basedOn w:val="CommentTextChar"/>
    <w:link w:val="CommentSubject"/>
    <w:uiPriority w:val="99"/>
    <w:semiHidden/>
    <w:rsid w:val="00803B8A"/>
    <w:rPr>
      <w:b/>
      <w:bCs/>
      <w:sz w:val="20"/>
      <w:szCs w:val="20"/>
    </w:rPr>
  </w:style>
  <w:style w:type="character" w:styleId="FollowedHyperlink">
    <w:name w:val="FollowedHyperlink"/>
    <w:basedOn w:val="DefaultParagraphFont"/>
    <w:uiPriority w:val="99"/>
    <w:semiHidden/>
    <w:unhideWhenUsed/>
    <w:rsid w:val="000341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bias-free-language" TargetMode="External"/><Relationship Id="rId13" Type="http://schemas.openxmlformats.org/officeDocument/2006/relationships/hyperlink" Target="https://www.guilford.com/authors/CaseRelease_Prof.doc?t=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uilford.com/authors/menninger.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pressbooks.com/chapter/accessi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udioeye.com/color-contrast-checker/?utm_adgroup=Color-Contrast-Checker&amp;utm_source=google&amp;utm_medium=paidsearch&amp;utm_campaign=Generic-Color-Contrast-Checker-97F&amp;utm_term=color%20contrast%20accessibility%20validator&amp;utm_content=&amp;hsa_acc=3628656526&amp;hsa_cam=20762452258&amp;hsa_grp=152282603941&amp;hsa_ad=745203183815&amp;hsa_src=g&amp;hsa_tgt=kwd-1433499111514&amp;hsa_kw=color%20contrast%20accessibility%20validator&amp;hsa_mt=p&amp;hsa_net=adwords&amp;hsa_ver=3&amp;gad_source=1&amp;gad_campaignid=20762452258&amp;gbraid=0AAAAADkp9oBT6XQYioFiTNrKgefCYcglF&amp;gclid=Cj0KCQjw5JXFBhCrARIsAL1ckPuwJ5bIZ0JUd8SCywH4fLCha2YY2BsJ8leZrr3AAHsLhJrHHCam4_0aAokOEALw_wc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versitystyleguide.com/resources/" TargetMode="External"/><Relationship Id="rId14" Type="http://schemas.openxmlformats.org/officeDocument/2006/relationships/hyperlink" Target="https://www.guilford.com/authors/CaseRelease_Trade.docx?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2734</Words>
  <Characters>14766</Characters>
  <Application>Microsoft Office Word</Application>
  <DocSecurity>0</DocSecurity>
  <Lines>259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Grant</dc:creator>
  <cp:keywords/>
  <dc:description/>
  <cp:lastModifiedBy>Jackie Grant</cp:lastModifiedBy>
  <cp:revision>6</cp:revision>
  <dcterms:created xsi:type="dcterms:W3CDTF">2025-08-21T13:51:00Z</dcterms:created>
  <dcterms:modified xsi:type="dcterms:W3CDTF">2025-10-30T18:02:00Z</dcterms:modified>
</cp:coreProperties>
</file>